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56" w:rsidRDefault="002702B5">
      <w:pPr>
        <w:tabs>
          <w:tab w:val="center" w:pos="4320"/>
          <w:tab w:val="right" w:pos="8640"/>
        </w:tabs>
        <w:ind w:left="2" w:hanging="4"/>
        <w:rPr>
          <w:rFonts w:ascii="Arial Narrow" w:eastAsia="Arial Narrow" w:hAnsi="Arial Narrow" w:cs="Arial Narrow"/>
          <w:color w:val="006D0D"/>
          <w:sz w:val="44"/>
          <w:szCs w:val="44"/>
        </w:rPr>
      </w:pPr>
      <w:bookmarkStart w:id="0" w:name="_GoBack"/>
      <w:bookmarkEnd w:id="0"/>
      <w:r>
        <w:rPr>
          <w:rFonts w:ascii="Arial Narrow" w:eastAsia="Arial Narrow" w:hAnsi="Arial Narrow" w:cs="Arial Narrow"/>
          <w:b/>
          <w:color w:val="006D0D"/>
          <w:sz w:val="44"/>
          <w:szCs w:val="44"/>
        </w:rPr>
        <w:t xml:space="preserve">Summer 2022 </w:t>
      </w:r>
      <w:proofErr w:type="spellStart"/>
      <w:r>
        <w:rPr>
          <w:rFonts w:ascii="Arial Narrow" w:eastAsia="Arial Narrow" w:hAnsi="Arial Narrow" w:cs="Arial Narrow"/>
          <w:b/>
          <w:color w:val="006D0D"/>
          <w:sz w:val="44"/>
          <w:szCs w:val="44"/>
        </w:rPr>
        <w:t>MiPSE</w:t>
      </w:r>
      <w:proofErr w:type="spellEnd"/>
      <w:r>
        <w:rPr>
          <w:rFonts w:ascii="Arial Narrow" w:eastAsia="Arial Narrow" w:hAnsi="Arial Narrow" w:cs="Arial Narrow"/>
          <w:b/>
          <w:color w:val="006D0D"/>
          <w:sz w:val="44"/>
          <w:szCs w:val="44"/>
        </w:rPr>
        <w:t xml:space="preserve"> Development Guide</w:t>
      </w:r>
    </w:p>
    <w:p w:rsidR="00B53156" w:rsidRDefault="00B53156">
      <w:p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b/>
        </w:rPr>
      </w:pPr>
    </w:p>
    <w:p w:rsidR="00B53156" w:rsidRDefault="00B53156">
      <w:p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b/>
        </w:rPr>
      </w:pPr>
    </w:p>
    <w:p w:rsidR="00B53156" w:rsidRDefault="002702B5">
      <w:pPr>
        <w:pBdr>
          <w:top w:val="nil"/>
          <w:left w:val="nil"/>
          <w:bottom w:val="nil"/>
          <w:right w:val="nil"/>
          <w:between w:val="nil"/>
        </w:pBdr>
        <w:tabs>
          <w:tab w:val="left" w:pos="270"/>
          <w:tab w:val="left" w:pos="7740"/>
        </w:tabs>
        <w:spacing w:line="240" w:lineRule="auto"/>
        <w:ind w:left="1" w:hanging="3"/>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Updated Documents</w:t>
      </w:r>
    </w:p>
    <w:p w:rsidR="00B53156" w:rsidRDefault="00B53156">
      <w:pPr>
        <w:pBdr>
          <w:top w:val="nil"/>
          <w:left w:val="nil"/>
          <w:bottom w:val="nil"/>
          <w:right w:val="nil"/>
          <w:between w:val="nil"/>
        </w:pBdr>
        <w:tabs>
          <w:tab w:val="left" w:pos="270"/>
          <w:tab w:val="left" w:pos="7740"/>
        </w:tabs>
        <w:spacing w:line="240" w:lineRule="auto"/>
        <w:ind w:left="1" w:hanging="3"/>
        <w:rPr>
          <w:rFonts w:ascii="Arial Narrow" w:eastAsia="Arial Narrow" w:hAnsi="Arial Narrow" w:cs="Arial Narrow"/>
          <w:color w:val="000000"/>
          <w:sz w:val="26"/>
          <w:szCs w:val="26"/>
        </w:rPr>
      </w:pPr>
    </w:p>
    <w:p w:rsidR="00B53156" w:rsidRDefault="002702B5">
      <w:pPr>
        <w:numPr>
          <w:ilvl w:val="0"/>
          <w:numId w:val="1"/>
        </w:num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Individualized Education Program</w:t>
      </w: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Curriculum Tree Update – Common Core and Essential Elements have been updated. </w:t>
      </w:r>
      <w:r>
        <w:rPr>
          <w:rFonts w:ascii="Arial Narrow" w:eastAsia="Arial Narrow" w:hAnsi="Arial Narrow" w:cs="Arial Narrow"/>
          <w:sz w:val="22"/>
          <w:szCs w:val="22"/>
        </w:rPr>
        <w:t>In order to make selection more efficient, staff can now search for grade-specific standard codes. Michigan’s Social Emotional Learning Competencies have also been added for social-emotional/behavioral goals.</w:t>
      </w:r>
    </w:p>
    <w:p w:rsidR="00B53156" w:rsidRDefault="00B53156">
      <w:p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Personal Care Authorization - </w:t>
      </w:r>
      <w:r>
        <w:rPr>
          <w:rFonts w:ascii="Arial Narrow" w:eastAsia="Arial Narrow" w:hAnsi="Arial Narrow" w:cs="Arial Narrow"/>
          <w:sz w:val="22"/>
          <w:szCs w:val="22"/>
        </w:rPr>
        <w:t xml:space="preserve">For students with personal care needs, teams will no longer be responsible for completing a separate personal care authorization form. When the “Has Personal Care?” checkbox is selected on the Supplementary Aids and Services page, a new section of the IEP </w:t>
      </w:r>
      <w:r>
        <w:rPr>
          <w:rFonts w:ascii="Arial Narrow" w:eastAsia="Arial Narrow" w:hAnsi="Arial Narrow" w:cs="Arial Narrow"/>
          <w:sz w:val="22"/>
          <w:szCs w:val="22"/>
        </w:rPr>
        <w:t>will come in titled, “Personal Care Authorization.”</w:t>
      </w:r>
    </w:p>
    <w:p w:rsidR="00B53156" w:rsidRDefault="00B53156">
      <w:p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color w:val="000000"/>
          <w:sz w:val="22"/>
          <w:szCs w:val="22"/>
        </w:rPr>
      </w:pPr>
    </w:p>
    <w:p w:rsidR="00B53156" w:rsidRDefault="002702B5">
      <w:pPr>
        <w:numPr>
          <w:ilvl w:val="0"/>
          <w:numId w:val="1"/>
        </w:num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REED and Consent to Evaluate </w:t>
      </w: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REED has been updated to include the capability to deny a parent request for an evaluation through the REED process.  </w:t>
      </w:r>
    </w:p>
    <w:p w:rsidR="00B53156" w:rsidRDefault="002702B5">
      <w:p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The “Notice of Sufficient data” section has been removed from the REED, so when it is determined that no additional data is needed then the rationale will be provided in the considered options. </w:t>
      </w:r>
    </w:p>
    <w:p w:rsidR="00B53156" w:rsidRDefault="00B53156">
      <w:pPr>
        <w:pBdr>
          <w:top w:val="nil"/>
          <w:left w:val="nil"/>
          <w:bottom w:val="nil"/>
          <w:right w:val="nil"/>
          <w:between w:val="nil"/>
        </w:pBdr>
        <w:tabs>
          <w:tab w:val="left" w:pos="270"/>
          <w:tab w:val="left" w:pos="7740"/>
        </w:tabs>
        <w:spacing w:line="240" w:lineRule="auto"/>
        <w:ind w:left="1" w:hanging="3"/>
        <w:rPr>
          <w:rFonts w:ascii="Arial Narrow" w:eastAsia="Arial Narrow" w:hAnsi="Arial Narrow" w:cs="Arial Narrow"/>
          <w:color w:val="000000"/>
          <w:sz w:val="26"/>
          <w:szCs w:val="26"/>
        </w:rPr>
      </w:pPr>
    </w:p>
    <w:p w:rsidR="00B53156" w:rsidRDefault="002702B5">
      <w:pPr>
        <w:pBdr>
          <w:top w:val="nil"/>
          <w:left w:val="nil"/>
          <w:bottom w:val="nil"/>
          <w:right w:val="nil"/>
          <w:between w:val="nil"/>
        </w:pBdr>
        <w:tabs>
          <w:tab w:val="left" w:pos="270"/>
          <w:tab w:val="left" w:pos="7740"/>
        </w:tabs>
        <w:spacing w:line="240" w:lineRule="auto"/>
        <w:ind w:left="1" w:hanging="3"/>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New Documents</w:t>
      </w:r>
    </w:p>
    <w:p w:rsidR="00B53156" w:rsidRDefault="00B53156">
      <w:p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color w:val="000000"/>
          <w:sz w:val="22"/>
          <w:szCs w:val="22"/>
        </w:rPr>
      </w:pPr>
    </w:p>
    <w:p w:rsidR="00B53156" w:rsidRDefault="002702B5">
      <w:pPr>
        <w:numPr>
          <w:ilvl w:val="0"/>
          <w:numId w:val="1"/>
        </w:num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Personal Curriculum (P</w:t>
      </w:r>
      <w:r>
        <w:rPr>
          <w:rFonts w:ascii="Arial Narrow" w:eastAsia="Arial Narrow" w:hAnsi="Arial Narrow" w:cs="Arial Narrow"/>
          <w:b/>
          <w:sz w:val="22"/>
          <w:szCs w:val="22"/>
        </w:rPr>
        <w:t>C)</w:t>
      </w: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sz w:val="22"/>
          <w:szCs w:val="22"/>
        </w:rPr>
        <w:t>PC Invitation – The PC Invitation is based on the IEP Invite and includes the following sections: Purpose, Invited Team Members, Additional Information &amp; Resources, and Contact and Signatures. The Purpose section details whether the PC is the Initial versi</w:t>
      </w:r>
      <w:r>
        <w:rPr>
          <w:rFonts w:ascii="Arial Narrow" w:eastAsia="Arial Narrow" w:hAnsi="Arial Narrow" w:cs="Arial Narrow"/>
          <w:sz w:val="22"/>
          <w:szCs w:val="22"/>
        </w:rPr>
        <w:t xml:space="preserve">on, a Revision, or if this PC is </w:t>
      </w:r>
      <w:proofErr w:type="gramStart"/>
      <w:r>
        <w:rPr>
          <w:rFonts w:ascii="Arial Narrow" w:eastAsia="Arial Narrow" w:hAnsi="Arial Narrow" w:cs="Arial Narrow"/>
          <w:sz w:val="22"/>
          <w:szCs w:val="22"/>
        </w:rPr>
        <w:t>Discontinued</w:t>
      </w:r>
      <w:proofErr w:type="gramEnd"/>
      <w:r>
        <w:rPr>
          <w:rFonts w:ascii="Arial Narrow" w:eastAsia="Arial Narrow" w:hAnsi="Arial Narrow" w:cs="Arial Narrow"/>
          <w:sz w:val="22"/>
          <w:szCs w:val="22"/>
        </w:rPr>
        <w:t>. The Modification Type (IEP, Transfer, General Enhanced, General Modified), will drive the options available in the PC Credit Modification Request. Additional Details should provide the rationale for the PC and</w:t>
      </w:r>
      <w:r>
        <w:rPr>
          <w:rFonts w:ascii="Arial Narrow" w:eastAsia="Arial Narrow" w:hAnsi="Arial Narrow" w:cs="Arial Narrow"/>
          <w:sz w:val="22"/>
          <w:szCs w:val="22"/>
        </w:rPr>
        <w:t xml:space="preserve"> how it aligns to the EDP and, when appropriate, the IEP Transition Plan. Invited Team Members will include the student, the parent/guardian, the school district rep/district designee, and the teacher or counselor. If the Modification Type is IEP, a specia</w:t>
      </w:r>
      <w:r>
        <w:rPr>
          <w:rFonts w:ascii="Arial Narrow" w:eastAsia="Arial Narrow" w:hAnsi="Arial Narrow" w:cs="Arial Narrow"/>
          <w:sz w:val="22"/>
          <w:szCs w:val="22"/>
        </w:rPr>
        <w:t xml:space="preserve">l education provider should be </w:t>
      </w:r>
      <w:proofErr w:type="gramStart"/>
      <w:r>
        <w:rPr>
          <w:rFonts w:ascii="Arial Narrow" w:eastAsia="Arial Narrow" w:hAnsi="Arial Narrow" w:cs="Arial Narrow"/>
          <w:sz w:val="22"/>
          <w:szCs w:val="22"/>
        </w:rPr>
        <w:t>included  to</w:t>
      </w:r>
      <w:proofErr w:type="gramEnd"/>
      <w:r>
        <w:rPr>
          <w:rFonts w:ascii="Arial Narrow" w:eastAsia="Arial Narrow" w:hAnsi="Arial Narrow" w:cs="Arial Narrow"/>
          <w:sz w:val="22"/>
          <w:szCs w:val="22"/>
        </w:rPr>
        <w:t xml:space="preserve"> provide input. Additional Information &amp; Resources include links to MDE-developed resources, MMC and graduation requirements, and answers to FAQs. The district designee will auto-populate in the Contact and Signat</w:t>
      </w:r>
      <w:r>
        <w:rPr>
          <w:rFonts w:ascii="Arial Narrow" w:eastAsia="Arial Narrow" w:hAnsi="Arial Narrow" w:cs="Arial Narrow"/>
          <w:sz w:val="22"/>
          <w:szCs w:val="22"/>
        </w:rPr>
        <w:t>ures section, along with the district address and phone number.</w:t>
      </w: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PC Credit Modification Request and Plan – This form adheres to all MDE PC requirements and will be driven by the Modification Type selected in the invite. The Credit Modification(s) Requested </w:t>
      </w:r>
      <w:r>
        <w:rPr>
          <w:rFonts w:ascii="Arial Narrow" w:eastAsia="Arial Narrow" w:hAnsi="Arial Narrow" w:cs="Arial Narrow"/>
          <w:sz w:val="22"/>
          <w:szCs w:val="22"/>
        </w:rPr>
        <w:t xml:space="preserve">section will detail the Purpose and Modification Type, and enable selection of Chosen Interested Career Pathways aligned to CTE requirements. The Student’s Post-School Goal will be detailed here to ensure alignment with the modifications requested. The PC </w:t>
      </w:r>
      <w:r>
        <w:rPr>
          <w:rFonts w:ascii="Arial Narrow" w:eastAsia="Arial Narrow" w:hAnsi="Arial Narrow" w:cs="Arial Narrow"/>
          <w:sz w:val="22"/>
          <w:szCs w:val="22"/>
        </w:rPr>
        <w:t>Modification(s) will detail the course(s) to be modified, their replacement content/course, the rationale for modifications including acknowledgement that the PC will not create barriers to the post-school goal, the status of the modification and start dat</w:t>
      </w:r>
      <w:r>
        <w:rPr>
          <w:rFonts w:ascii="Arial Narrow" w:eastAsia="Arial Narrow" w:hAnsi="Arial Narrow" w:cs="Arial Narrow"/>
          <w:sz w:val="22"/>
          <w:szCs w:val="22"/>
        </w:rPr>
        <w:t xml:space="preserve">e and the completion or discontinued date. Assurance Statements are included for the parent/guardian and the student, and the district designee can approve or deny the PC in the District Commitment section. PC Type and PC Modification(s) data will flow to </w:t>
      </w:r>
      <w:r>
        <w:rPr>
          <w:rFonts w:ascii="Arial Narrow" w:eastAsia="Arial Narrow" w:hAnsi="Arial Narrow" w:cs="Arial Narrow"/>
          <w:sz w:val="22"/>
          <w:szCs w:val="22"/>
        </w:rPr>
        <w:t>the SMS for MSDS reporting, per MDE regulations.</w:t>
      </w:r>
    </w:p>
    <w:p w:rsidR="00B53156" w:rsidRDefault="00B53156">
      <w:p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p>
    <w:p w:rsidR="00B53156" w:rsidRDefault="002702B5">
      <w:pPr>
        <w:numPr>
          <w:ilvl w:val="0"/>
          <w:numId w:val="1"/>
        </w:numPr>
        <w:tabs>
          <w:tab w:val="left" w:pos="270"/>
          <w:tab w:val="left" w:pos="7740"/>
        </w:tabs>
        <w:ind w:left="0" w:hanging="2"/>
        <w:rPr>
          <w:rFonts w:ascii="Arial Narrow" w:eastAsia="Arial Narrow" w:hAnsi="Arial Narrow" w:cs="Arial Narrow"/>
          <w:sz w:val="22"/>
          <w:szCs w:val="22"/>
        </w:rPr>
      </w:pPr>
      <w:r>
        <w:rPr>
          <w:rFonts w:ascii="Arial Narrow" w:eastAsia="Arial Narrow" w:hAnsi="Arial Narrow" w:cs="Arial Narrow"/>
          <w:b/>
          <w:sz w:val="22"/>
          <w:szCs w:val="22"/>
        </w:rPr>
        <w:t>Compensatory Education Plan</w:t>
      </w:r>
    </w:p>
    <w:p w:rsidR="00B53156" w:rsidRDefault="002702B5">
      <w:pPr>
        <w:numPr>
          <w:ilvl w:val="1"/>
          <w:numId w:val="1"/>
        </w:num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The purpose of compensatory education is to remedy a public agency's failure to provide a child with a disability with "appropriate </w:t>
      </w:r>
      <w:proofErr w:type="gramStart"/>
      <w:r>
        <w:rPr>
          <w:rFonts w:ascii="Arial Narrow" w:eastAsia="Arial Narrow" w:hAnsi="Arial Narrow" w:cs="Arial Narrow"/>
          <w:sz w:val="22"/>
          <w:szCs w:val="22"/>
        </w:rPr>
        <w:t>services</w:t>
      </w:r>
      <w:proofErr w:type="gramEnd"/>
      <w:r>
        <w:rPr>
          <w:rFonts w:ascii="Arial Narrow" w:eastAsia="Arial Narrow" w:hAnsi="Arial Narrow" w:cs="Arial Narrow"/>
          <w:sz w:val="22"/>
          <w:szCs w:val="22"/>
        </w:rPr>
        <w:t>" during the time the child is (or was</w:t>
      </w:r>
      <w:r>
        <w:rPr>
          <w:rFonts w:ascii="Arial Narrow" w:eastAsia="Arial Narrow" w:hAnsi="Arial Narrow" w:cs="Arial Narrow"/>
          <w:sz w:val="22"/>
          <w:szCs w:val="22"/>
        </w:rPr>
        <w:t xml:space="preserve">) entitled to a free appropriate public education when it is determined appropriate services were denied. The compensatory education plan has been added to </w:t>
      </w:r>
      <w:proofErr w:type="spellStart"/>
      <w:r>
        <w:rPr>
          <w:rFonts w:ascii="Arial Narrow" w:eastAsia="Arial Narrow" w:hAnsi="Arial Narrow" w:cs="Arial Narrow"/>
          <w:sz w:val="22"/>
          <w:szCs w:val="22"/>
        </w:rPr>
        <w:t>MiPSE</w:t>
      </w:r>
      <w:proofErr w:type="spellEnd"/>
      <w:r>
        <w:rPr>
          <w:rFonts w:ascii="Arial Narrow" w:eastAsia="Arial Narrow" w:hAnsi="Arial Narrow" w:cs="Arial Narrow"/>
          <w:sz w:val="22"/>
          <w:szCs w:val="22"/>
        </w:rPr>
        <w:t xml:space="preserve"> and includes logging for documentation of delivered services. Only administrators have access </w:t>
      </w:r>
      <w:r>
        <w:rPr>
          <w:rFonts w:ascii="Arial Narrow" w:eastAsia="Arial Narrow" w:hAnsi="Arial Narrow" w:cs="Arial Narrow"/>
          <w:sz w:val="22"/>
          <w:szCs w:val="22"/>
        </w:rPr>
        <w:t>to create the document. All other security groups have rights to edit once created.</w:t>
      </w:r>
    </w:p>
    <w:p w:rsidR="00B53156" w:rsidRDefault="00B53156">
      <w:p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sz w:val="22"/>
          <w:szCs w:val="22"/>
        </w:rPr>
      </w:pPr>
    </w:p>
    <w:p w:rsidR="00B53156" w:rsidRDefault="002702B5">
      <w:pPr>
        <w:pBdr>
          <w:top w:val="nil"/>
          <w:left w:val="nil"/>
          <w:bottom w:val="nil"/>
          <w:right w:val="nil"/>
          <w:between w:val="nil"/>
        </w:pBdr>
        <w:tabs>
          <w:tab w:val="left" w:pos="270"/>
          <w:tab w:val="left" w:pos="7740"/>
          <w:tab w:val="left" w:pos="810"/>
        </w:tabs>
        <w:spacing w:line="240" w:lineRule="auto"/>
        <w:ind w:left="0" w:hanging="2"/>
        <w:rPr>
          <w:rFonts w:ascii="Arial Narrow" w:eastAsia="Arial Narrow" w:hAnsi="Arial Narrow" w:cs="Arial Narrow"/>
          <w:color w:val="000000"/>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104775</wp:posOffset>
                </wp:positionV>
                <wp:extent cx="7116128" cy="504825"/>
                <wp:effectExtent l="0" t="0" r="0" b="0"/>
                <wp:wrapNone/>
                <wp:docPr id="1027" name=""/>
                <wp:cNvGraphicFramePr/>
                <a:graphic xmlns:a="http://schemas.openxmlformats.org/drawingml/2006/main">
                  <a:graphicData uri="http://schemas.microsoft.com/office/word/2010/wordprocessingShape">
                    <wps:wsp>
                      <wps:cNvSpPr/>
                      <wps:spPr>
                        <a:xfrm>
                          <a:off x="3718178" y="3428528"/>
                          <a:ext cx="3255645" cy="702945"/>
                        </a:xfrm>
                        <a:prstGeom prst="rect">
                          <a:avLst/>
                        </a:prstGeom>
                        <a:noFill/>
                        <a:ln w="28575" cap="flat" cmpd="sng">
                          <a:solidFill>
                            <a:srgbClr val="70AD47"/>
                          </a:solidFill>
                          <a:prstDash val="solid"/>
                          <a:miter lim="800000"/>
                          <a:headEnd type="none" w="sm" len="sm"/>
                          <a:tailEnd type="none" w="sm" len="sm"/>
                        </a:ln>
                      </wps:spPr>
                      <wps:txbx>
                        <w:txbxContent>
                          <w:p w:rsidR="00B53156" w:rsidRDefault="00B53156">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7116128" cy="504825"/>
                <wp:effectExtent b="0" l="0" r="0" t="0"/>
                <wp:wrapNone/>
                <wp:docPr id="102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116128" cy="504825"/>
                        </a:xfrm>
                        <a:prstGeom prst="rect"/>
                        <a:ln/>
                      </pic:spPr>
                    </pic:pic>
                  </a:graphicData>
                </a:graphic>
              </wp:anchor>
            </w:drawing>
          </mc:Fallback>
        </mc:AlternateContent>
      </w:r>
    </w:p>
    <w:p w:rsidR="00B53156" w:rsidRDefault="002702B5">
      <w:pPr>
        <w:pBdr>
          <w:top w:val="nil"/>
          <w:left w:val="nil"/>
          <w:bottom w:val="nil"/>
          <w:right w:val="nil"/>
          <w:between w:val="nil"/>
        </w:pBdr>
        <w:tabs>
          <w:tab w:val="left" w:pos="270"/>
          <w:tab w:val="left" w:pos="7740"/>
        </w:tabs>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w:t>
      </w:r>
      <w:hyperlink r:id="rId9">
        <w:r>
          <w:rPr>
            <w:rFonts w:ascii="Arial Narrow" w:eastAsia="Arial Narrow" w:hAnsi="Arial Narrow" w:cs="Arial Narrow"/>
            <w:b/>
            <w:i/>
            <w:color w:val="0563C1"/>
            <w:sz w:val="22"/>
            <w:szCs w:val="22"/>
            <w:u w:val="single"/>
          </w:rPr>
          <w:t>IEP Guidance and Compliance Manual</w:t>
        </w:r>
      </w:hyperlink>
      <w:r>
        <w:rPr>
          <w:rFonts w:ascii="Arial Narrow" w:eastAsia="Arial Narrow" w:hAnsi="Arial Narrow" w:cs="Arial Narrow"/>
          <w:color w:val="000000"/>
          <w:sz w:val="22"/>
          <w:szCs w:val="22"/>
        </w:rPr>
        <w:t xml:space="preserve"> and </w:t>
      </w:r>
      <w:hyperlink r:id="rId10">
        <w:r>
          <w:rPr>
            <w:rFonts w:ascii="Arial Narrow" w:eastAsia="Arial Narrow" w:hAnsi="Arial Narrow" w:cs="Arial Narrow"/>
            <w:b/>
            <w:i/>
            <w:color w:val="1155CC"/>
            <w:sz w:val="22"/>
            <w:szCs w:val="22"/>
            <w:u w:val="single"/>
          </w:rPr>
          <w:t xml:space="preserve">Evaluation and Eligibility </w:t>
        </w:r>
      </w:hyperlink>
      <w:hyperlink r:id="rId11">
        <w:r>
          <w:rPr>
            <w:rFonts w:ascii="Arial Narrow" w:eastAsia="Arial Narrow" w:hAnsi="Arial Narrow" w:cs="Arial Narrow"/>
            <w:b/>
            <w:i/>
            <w:color w:val="1155CC"/>
            <w:sz w:val="22"/>
            <w:szCs w:val="22"/>
            <w:u w:val="single"/>
          </w:rPr>
          <w:t>Manual</w:t>
        </w:r>
      </w:hyperlink>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ha</w:t>
      </w:r>
      <w:r>
        <w:rPr>
          <w:rFonts w:ascii="Arial Narrow" w:eastAsia="Arial Narrow" w:hAnsi="Arial Narrow" w:cs="Arial Narrow"/>
          <w:sz w:val="22"/>
          <w:szCs w:val="22"/>
        </w:rPr>
        <w:t>ve</w:t>
      </w:r>
      <w:r>
        <w:rPr>
          <w:rFonts w:ascii="Arial Narrow" w:eastAsia="Arial Narrow" w:hAnsi="Arial Narrow" w:cs="Arial Narrow"/>
          <w:color w:val="000000"/>
          <w:sz w:val="22"/>
          <w:szCs w:val="22"/>
        </w:rPr>
        <w:t xml:space="preserve"> updated guidance for each new and improved section. Green boxes are used to mark new guidance. Please review all information in the green boxes.</w:t>
      </w:r>
    </w:p>
    <w:p w:rsidR="00B53156" w:rsidRDefault="00B53156">
      <w:pPr>
        <w:pBdr>
          <w:top w:val="nil"/>
          <w:left w:val="nil"/>
          <w:bottom w:val="nil"/>
          <w:right w:val="nil"/>
          <w:between w:val="nil"/>
        </w:pBdr>
        <w:tabs>
          <w:tab w:val="left" w:pos="270"/>
          <w:tab w:val="left" w:pos="7740"/>
          <w:tab w:val="left" w:pos="0"/>
        </w:tabs>
        <w:spacing w:line="240" w:lineRule="auto"/>
        <w:ind w:left="0" w:hanging="2"/>
        <w:rPr>
          <w:rFonts w:ascii="Arial Narrow" w:eastAsia="Arial Narrow" w:hAnsi="Arial Narrow" w:cs="Arial Narrow"/>
          <w:color w:val="000000"/>
          <w:sz w:val="20"/>
          <w:szCs w:val="20"/>
        </w:rPr>
      </w:pPr>
    </w:p>
    <w:sectPr w:rsidR="00B53156">
      <w:headerReference w:type="default" r:id="rId12"/>
      <w:footerReference w:type="default" r:id="rId13"/>
      <w:headerReference w:type="first" r:id="rId14"/>
      <w:pgSz w:w="12240" w:h="15840"/>
      <w:pgMar w:top="720" w:right="576" w:bottom="720" w:left="576" w:header="720" w:footer="144" w:gutter="0"/>
      <w:pgNumType w:start="8"/>
      <w:cols w:space="720" w:equalWidth="0">
        <w:col w:w="11088"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02B5">
      <w:pPr>
        <w:spacing w:line="240" w:lineRule="auto"/>
        <w:ind w:left="0" w:hanging="2"/>
      </w:pPr>
      <w:r>
        <w:separator/>
      </w:r>
    </w:p>
  </w:endnote>
  <w:endnote w:type="continuationSeparator" w:id="0">
    <w:p w:rsidR="00000000" w:rsidRDefault="002702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6" w:rsidRDefault="00B53156">
    <w:pPr>
      <w:widowControl w:val="0"/>
      <w:pBdr>
        <w:top w:val="nil"/>
        <w:left w:val="nil"/>
        <w:bottom w:val="nil"/>
        <w:right w:val="nil"/>
        <w:between w:val="nil"/>
      </w:pBdr>
      <w:spacing w:line="276" w:lineRule="auto"/>
      <w:ind w:left="0" w:hanging="2"/>
      <w:rPr>
        <w:color w:val="000000"/>
      </w:rPr>
    </w:pPr>
  </w:p>
  <w:tbl>
    <w:tblPr>
      <w:tblStyle w:val="a"/>
      <w:tblW w:w="11318" w:type="dxa"/>
      <w:jc w:val="center"/>
      <w:tblLayout w:type="fixed"/>
      <w:tblLook w:val="0000" w:firstRow="0" w:lastRow="0" w:firstColumn="0" w:lastColumn="0" w:noHBand="0" w:noVBand="0"/>
    </w:tblPr>
    <w:tblGrid>
      <w:gridCol w:w="5666"/>
      <w:gridCol w:w="5652"/>
    </w:tblGrid>
    <w:tr w:rsidR="00B53156">
      <w:trPr>
        <w:trHeight w:val="101"/>
        <w:jc w:val="center"/>
      </w:trPr>
      <w:tc>
        <w:tcPr>
          <w:tcW w:w="0" w:type="auto"/>
          <w:shd w:val="clear" w:color="auto" w:fill="006D0D"/>
          <w:tcMar>
            <w:top w:w="0" w:type="dxa"/>
            <w:bottom w:w="0" w:type="dxa"/>
          </w:tcMar>
        </w:tcPr>
        <w:p w:rsidR="00B53156" w:rsidRDefault="00B53156">
          <w:pPr>
            <w:pBdr>
              <w:top w:val="nil"/>
              <w:left w:val="nil"/>
              <w:bottom w:val="nil"/>
              <w:right w:val="nil"/>
              <w:between w:val="nil"/>
            </w:pBdr>
            <w:tabs>
              <w:tab w:val="center" w:pos="4320"/>
              <w:tab w:val="right" w:pos="8640"/>
            </w:tabs>
            <w:spacing w:line="240" w:lineRule="auto"/>
            <w:rPr>
              <w:rFonts w:ascii="Arial Narrow" w:eastAsia="Arial Narrow" w:hAnsi="Arial Narrow" w:cs="Arial Narrow"/>
              <w:color w:val="000000"/>
              <w:sz w:val="8"/>
              <w:szCs w:val="8"/>
            </w:rPr>
          </w:pPr>
        </w:p>
      </w:tc>
      <w:tc>
        <w:tcPr>
          <w:tcW w:w="0" w:type="auto"/>
          <w:shd w:val="clear" w:color="auto" w:fill="006D0D"/>
          <w:tcMar>
            <w:top w:w="0" w:type="dxa"/>
            <w:bottom w:w="0" w:type="dxa"/>
          </w:tcMar>
        </w:tcPr>
        <w:p w:rsidR="00B53156" w:rsidRDefault="00B53156">
          <w:pPr>
            <w:pBdr>
              <w:top w:val="nil"/>
              <w:left w:val="nil"/>
              <w:bottom w:val="nil"/>
              <w:right w:val="nil"/>
              <w:between w:val="nil"/>
            </w:pBdr>
            <w:tabs>
              <w:tab w:val="center" w:pos="4320"/>
              <w:tab w:val="right" w:pos="8640"/>
            </w:tabs>
            <w:spacing w:line="240" w:lineRule="auto"/>
            <w:ind w:left="0" w:hanging="2"/>
            <w:jc w:val="right"/>
            <w:rPr>
              <w:color w:val="000000"/>
              <w:sz w:val="18"/>
              <w:szCs w:val="18"/>
            </w:rPr>
          </w:pPr>
        </w:p>
      </w:tc>
    </w:tr>
    <w:tr w:rsidR="00B53156">
      <w:trPr>
        <w:trHeight w:val="144"/>
        <w:jc w:val="center"/>
      </w:trPr>
      <w:tc>
        <w:tcPr>
          <w:tcW w:w="0" w:type="auto"/>
          <w:vAlign w:val="center"/>
        </w:tcPr>
        <w:p w:rsidR="00B53156" w:rsidRDefault="002702B5">
          <w:pPr>
            <w:pBdr>
              <w:top w:val="nil"/>
              <w:left w:val="nil"/>
              <w:bottom w:val="nil"/>
              <w:right w:val="nil"/>
              <w:between w:val="nil"/>
            </w:pBdr>
            <w:tabs>
              <w:tab w:val="center" w:pos="4320"/>
              <w:tab w:val="right" w:pos="8640"/>
            </w:tabs>
            <w:spacing w:line="240" w:lineRule="auto"/>
            <w:ind w:left="0" w:hanging="2"/>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Guide to Summer Development - August 2021</w:t>
          </w:r>
        </w:p>
      </w:tc>
      <w:tc>
        <w:tcPr>
          <w:tcW w:w="0" w:type="auto"/>
          <w:vAlign w:val="center"/>
        </w:tcPr>
        <w:p w:rsidR="00B53156" w:rsidRDefault="00B53156">
          <w:pPr>
            <w:pBdr>
              <w:top w:val="nil"/>
              <w:left w:val="nil"/>
              <w:bottom w:val="nil"/>
              <w:right w:val="nil"/>
              <w:between w:val="nil"/>
            </w:pBdr>
            <w:tabs>
              <w:tab w:val="center" w:pos="4320"/>
              <w:tab w:val="right" w:pos="8640"/>
            </w:tabs>
            <w:spacing w:line="240" w:lineRule="auto"/>
            <w:ind w:left="0" w:hanging="2"/>
            <w:jc w:val="right"/>
            <w:rPr>
              <w:rFonts w:ascii="Arial Narrow" w:eastAsia="Arial Narrow" w:hAnsi="Arial Narrow" w:cs="Arial Narrow"/>
              <w:color w:val="808080"/>
              <w:sz w:val="18"/>
              <w:szCs w:val="18"/>
            </w:rPr>
          </w:pPr>
        </w:p>
      </w:tc>
    </w:tr>
  </w:tbl>
  <w:p w:rsidR="00B53156" w:rsidRDefault="00B5315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02B5">
      <w:pPr>
        <w:spacing w:line="240" w:lineRule="auto"/>
        <w:ind w:left="0" w:hanging="2"/>
      </w:pPr>
      <w:r>
        <w:separator/>
      </w:r>
    </w:p>
  </w:footnote>
  <w:footnote w:type="continuationSeparator" w:id="0">
    <w:p w:rsidR="00000000" w:rsidRDefault="002702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6" w:rsidRDefault="00B53156">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6" w:rsidRDefault="002702B5">
    <w:pPr>
      <w:pBdr>
        <w:top w:val="nil"/>
        <w:left w:val="nil"/>
        <w:bottom w:val="nil"/>
        <w:right w:val="nil"/>
        <w:between w:val="nil"/>
      </w:pBdr>
      <w:tabs>
        <w:tab w:val="center" w:pos="4320"/>
        <w:tab w:val="right" w:pos="8640"/>
      </w:tabs>
      <w:spacing w:line="240" w:lineRule="auto"/>
      <w:ind w:left="2" w:hanging="4"/>
      <w:rPr>
        <w:color w:val="000000"/>
      </w:rPr>
    </w:pPr>
    <w:r>
      <w:rPr>
        <w:rFonts w:ascii="Arial Narrow" w:eastAsia="Arial Narrow" w:hAnsi="Arial Narrow" w:cs="Arial Narrow"/>
        <w:b/>
        <w:noProof/>
        <w:color w:val="006D0D"/>
        <w:sz w:val="44"/>
        <w:szCs w:val="44"/>
      </w:rPr>
      <w:drawing>
        <wp:anchor distT="114300" distB="114300" distL="114300" distR="114300" simplePos="0" relativeHeight="251658240" behindDoc="0" locked="0" layoutInCell="1" hidden="0" allowOverlap="1">
          <wp:simplePos x="0" y="0"/>
          <wp:positionH relativeFrom="page">
            <wp:posOffset>169014</wp:posOffset>
          </wp:positionH>
          <wp:positionV relativeFrom="page">
            <wp:posOffset>171450</wp:posOffset>
          </wp:positionV>
          <wp:extent cx="2407498" cy="1154280"/>
          <wp:effectExtent l="0" t="0" r="0" b="0"/>
          <wp:wrapSquare wrapText="bothSides" distT="114300" distB="114300" distL="114300" distR="11430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07498" cy="1154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6E66"/>
    <w:multiLevelType w:val="multilevel"/>
    <w:tmpl w:val="0F8CB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56"/>
    <w:rsid w:val="002702B5"/>
    <w:rsid w:val="00B5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05CA8-0B21-44CB-874F-74E86448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s>
      <w:ind w:left="360" w:hanging="360"/>
    </w:pPr>
    <w:rPr>
      <w:rFonts w:ascii="Arial Narrow" w:hAnsi="Arial Narrow"/>
      <w:bCs/>
      <w:sz w:val="20"/>
    </w:rPr>
  </w:style>
  <w:style w:type="paragraph" w:styleId="BodyTextIndent2">
    <w:name w:val="Body Text Indent 2"/>
    <w:basedOn w:val="Normal"/>
    <w:pPr>
      <w:tabs>
        <w:tab w:val="left" w:pos="270"/>
        <w:tab w:val="left" w:pos="7740"/>
      </w:tabs>
      <w:ind w:left="270" w:hanging="270"/>
    </w:pPr>
    <w:rPr>
      <w:rFonts w:ascii="Arial Narrow" w:hAnsi="Arial Narrow"/>
      <w:sz w:val="20"/>
    </w:rPr>
  </w:style>
  <w:style w:type="paragraph" w:styleId="ListParagraph">
    <w:name w:val="List Paragraph"/>
    <w:basedOn w:val="Normal"/>
    <w:pPr>
      <w:ind w:left="720"/>
    </w:pPr>
  </w:style>
  <w:style w:type="character" w:customStyle="1" w:styleId="HeaderChar">
    <w:name w:val="Header Char"/>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character" w:customStyle="1" w:styleId="Heading1Char">
    <w:name w:val="Heading 1 Char"/>
    <w:rPr>
      <w:rFonts w:ascii="Times New Roman" w:eastAsia="Times New Roman" w:hAnsi="Times New Roman"/>
      <w:b/>
      <w:bCs/>
      <w:w w:val="100"/>
      <w:kern w:val="36"/>
      <w:position w:val="-1"/>
      <w:sz w:val="48"/>
      <w:szCs w:val="4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Ps_gxhKziGUSbB-afMTBUgFD3Fhilrez/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Ps_gxhKziGUSbB-afMTBUgFD3Fhilrez/view" TargetMode="External"/><Relationship Id="rId4" Type="http://schemas.openxmlformats.org/officeDocument/2006/relationships/settings" Target="settings.xml"/><Relationship Id="rId9" Type="http://schemas.openxmlformats.org/officeDocument/2006/relationships/hyperlink" Target="https://drive.google.com/file/d/1zNET_-VSCgXpZ3fI00GrDCfjGfJa4joL/view"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3UpASFF45pMqD0/H8WsYtDeFg==">AMUW2mWGgpgHkN3AuG/0dItrp3xQ8ww00K/qZ41arhTgRK+Weq25YU3Or/7rMaXKoyyoXHJikkF/lqXQauCpyDtW06z07npXydNuOoQPCxdd0OJszFE4yRI=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Webberville Community Schools</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Meyer</dc:creator>
  <cp:lastModifiedBy>Erin Burcham</cp:lastModifiedBy>
  <cp:revision>2</cp:revision>
  <cp:lastPrinted>2022-08-04T16:53:00Z</cp:lastPrinted>
  <dcterms:created xsi:type="dcterms:W3CDTF">2022-08-04T16:53:00Z</dcterms:created>
  <dcterms:modified xsi:type="dcterms:W3CDTF">2022-08-04T16:53:00Z</dcterms:modified>
</cp:coreProperties>
</file>